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192" w:lineRule="auto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</w:p>
    <w:p>
      <w:pPr>
        <w:ind w:left="6236" w:right="0" w:firstLine="0"/>
      </w:pPr>
      <w:r>
        <w:rPr>
          <w:bCs/>
        </w:rPr>
        <w:t xml:space="preserve">Приложение № </w:t>
      </w:r>
      <w:r>
        <w:rPr>
          <w:bCs/>
          <w:lang w:val="ru-RU"/>
        </w:rPr>
        <w:t xml:space="preserve">8</w:t>
      </w:r>
      <w:r/>
    </w:p>
    <w:p>
      <w:pPr>
        <w:ind w:left="6236" w:right="0" w:firstLine="0"/>
      </w:pPr>
      <w:r>
        <w:rPr>
          <w:bCs/>
        </w:rPr>
        <w:t xml:space="preserve">к информационному сообщению о проведении </w:t>
      </w:r>
      <w:r>
        <w:rPr>
          <w:bCs/>
        </w:rPr>
        <w:t xml:space="preserve">продажи государственного</w:t>
      </w:r>
      <w:r>
        <w:rPr>
          <w:bCs/>
        </w:rPr>
        <w:t xml:space="preserve"> имущества Костромской области </w:t>
      </w:r>
      <w:r>
        <w:rPr>
          <w:bCs/>
        </w:rPr>
        <w:t xml:space="preserve">на аукционе </w:t>
      </w:r>
      <w:r>
        <w:rPr>
          <w:bCs/>
        </w:rPr>
        <w:t xml:space="preserve">в электронной форме</w:t>
      </w:r>
      <w:r>
        <w:rPr>
          <w:bCs/>
        </w:rPr>
      </w:r>
      <w:r/>
    </w:p>
    <w:p>
      <w:pPr>
        <w:jc w:val="center"/>
        <w:spacing w:line="192" w:lineRule="auto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spacing w:line="192" w:lineRule="auto"/>
        <w:rPr>
          <w:b/>
          <w:lang w:val="ru-RU"/>
        </w:rPr>
      </w:pPr>
      <w:r>
        <w:rPr>
          <w:b/>
          <w:lang w:val="ru-RU"/>
        </w:rPr>
      </w:r>
      <w:r/>
    </w:p>
    <w:p>
      <w:pPr>
        <w:jc w:val="center"/>
        <w:spacing w:line="192" w:lineRule="auto"/>
        <w:rPr>
          <w:b/>
          <w:lang w:val="ru-RU"/>
        </w:rPr>
      </w:pPr>
      <w:r>
        <w:rPr>
          <w:b/>
          <w:lang w:val="ru-RU"/>
        </w:rPr>
        <w:t xml:space="preserve">ФОРМА ЗАЯВКИ НА УЧАСТИЕ В АУКЦИОНЕ В ЭЛЕКТРОННОЙ ФОРМЕ</w:t>
      </w:r>
      <w:r/>
    </w:p>
    <w:p>
      <w:pPr>
        <w:jc w:val="center"/>
        <w:spacing w:line="192" w:lineRule="auto"/>
        <w:rPr>
          <w:b/>
          <w:sz w:val="22"/>
          <w:szCs w:val="22"/>
          <w:lang w:val="ru-RU"/>
        </w:rPr>
      </w:pPr>
      <w:r>
        <w:rPr>
          <w:b/>
          <w:lang w:val="ru-RU"/>
        </w:rPr>
        <w:t xml:space="preserve">по продаже </w:t>
      </w:r>
      <w:r>
        <w:rPr>
          <w:b/>
          <w:lang w:val="ru-RU"/>
        </w:rPr>
        <w:t xml:space="preserve">имущества</w:t>
      </w:r>
      <w:r/>
    </w:p>
    <w:p>
      <w:pPr>
        <w:ind w:left="-284"/>
        <w:rPr>
          <w:b/>
          <w:sz w:val="6"/>
          <w:szCs w:val="19"/>
          <w:lang w:val="ru-RU"/>
        </w:rPr>
      </w:pPr>
      <w:r>
        <w:rPr>
          <w:b/>
          <w:sz w:val="6"/>
          <w:szCs w:val="19"/>
          <w:lang w:val="ru-RU"/>
        </w:rPr>
      </w:r>
      <w:r/>
    </w:p>
    <w:p>
      <w:pPr>
        <w:ind w:left="-284"/>
        <w:rPr>
          <w:sz w:val="20"/>
          <w:szCs w:val="19"/>
          <w:lang w:val="ru-RU"/>
        </w:rPr>
      </w:pPr>
      <w:r/>
      <w:bookmarkStart w:id="0" w:name="OLE_LINK6"/>
      <w:r/>
      <w:bookmarkStart w:id="1" w:name="OLE_LINK5"/>
      <w:r/>
      <w:bookmarkEnd w:id="0"/>
      <w:bookmarkEnd w:id="1"/>
      <w:r/>
    </w:p>
    <w:p>
      <w:pPr>
        <w:ind w:left="-284"/>
        <w:rPr>
          <w:sz w:val="20"/>
          <w:szCs w:val="19"/>
          <w:lang w:val="ru-RU"/>
        </w:rPr>
        <w:pBdr>
          <w:bottom w:val="single" w:color="auto" w:sz="4" w:space="1"/>
        </w:pBdr>
      </w:pPr>
      <w:r>
        <w:rPr>
          <w:b/>
          <w:sz w:val="20"/>
          <w:szCs w:val="19"/>
          <w:lang w:val="ru-RU"/>
        </w:rPr>
        <w:t xml:space="preserve">Претендент </w:t>
      </w:r>
      <w:r>
        <w:rPr>
          <w:sz w:val="20"/>
          <w:szCs w:val="19"/>
          <w:lang w:val="ru-RU"/>
        </w:rPr>
        <w:t xml:space="preserve">    </w:t>
      </w:r>
      <w:r>
        <w:rPr>
          <w:sz w:val="20"/>
          <w:szCs w:val="19"/>
          <w:lang w:val="ru-RU"/>
        </w:rPr>
        <w:fldChar w:fldCharType="begin"/>
      </w:r>
      <w:r>
        <w:rPr>
          <w:sz w:val="20"/>
          <w:szCs w:val="19"/>
          <w:lang w:val="ru-RU"/>
        </w:rPr>
        <w:instrText xml:space="preserve"> PretendentName </w:instrText>
      </w:r>
      <w:r>
        <w:rPr>
          <w:sz w:val="20"/>
          <w:szCs w:val="19"/>
          <w:lang w:val="ru-RU"/>
        </w:rPr>
        <w:fldChar w:fldCharType="end"/>
      </w:r>
      <w:r/>
    </w:p>
    <w:p>
      <w:pPr>
        <w:ind w:left="-284"/>
        <w:jc w:val="center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</w:t>
      </w:r>
      <w:r>
        <w:rPr>
          <w:sz w:val="16"/>
          <w:szCs w:val="18"/>
          <w:lang w:val="ru-RU"/>
        </w:rPr>
        <w:t xml:space="preserve">(</w:t>
      </w:r>
      <w:r>
        <w:rPr>
          <w:bCs/>
          <w:sz w:val="16"/>
          <w:szCs w:val="18"/>
          <w:lang w:val="ru-RU"/>
        </w:rPr>
        <w:t xml:space="preserve">Ф.И.О. физического лица, индивидуального предпринимателя,</w:t>
      </w:r>
      <w:r>
        <w:rPr>
          <w:bCs/>
          <w:sz w:val="16"/>
          <w:szCs w:val="18"/>
          <w:lang w:val="ru-RU"/>
        </w:rPr>
        <w:br/>
        <w:t xml:space="preserve">наименование юридического лица с указанием организационно-правовой формы</w:t>
      </w:r>
      <w:r>
        <w:rPr>
          <w:sz w:val="16"/>
          <w:szCs w:val="18"/>
          <w:lang w:val="ru-RU"/>
        </w:rPr>
        <w:t xml:space="preserve">)</w:t>
      </w:r>
      <w:r/>
    </w:p>
    <w:p>
      <w:pPr>
        <w:ind w:left="-284"/>
        <w:rPr>
          <w:sz w:val="20"/>
          <w:szCs w:val="19"/>
          <w:lang w:val="ru-RU"/>
        </w:rPr>
        <w:pBdr>
          <w:bottom w:val="single" w:color="auto" w:sz="4" w:space="1"/>
        </w:pBdr>
      </w:pPr>
      <w:r>
        <w:rPr>
          <w:b/>
          <w:sz w:val="20"/>
          <w:szCs w:val="19"/>
          <w:lang w:val="ru-RU"/>
        </w:rPr>
        <w:t xml:space="preserve">в лице</w:t>
      </w:r>
      <w:r>
        <w:rPr>
          <w:sz w:val="20"/>
          <w:szCs w:val="19"/>
          <w:lang w:val="ru-RU"/>
        </w:rPr>
        <w:t xml:space="preserve"> </w:t>
      </w:r>
      <w:r>
        <w:rPr>
          <w:sz w:val="20"/>
          <w:szCs w:val="19"/>
          <w:lang w:val="ru-RU"/>
        </w:rPr>
        <w:t xml:space="preserve">             </w:t>
      </w:r>
      <w:r>
        <w:rPr>
          <w:sz w:val="20"/>
          <w:szCs w:val="19"/>
          <w:lang w:val="ru-RU"/>
        </w:rPr>
        <w:t xml:space="preserve"> </w:t>
      </w:r>
      <w:r>
        <w:rPr>
          <w:sz w:val="20"/>
          <w:szCs w:val="19"/>
          <w:lang w:val="ru-RU"/>
        </w:rPr>
        <w:fldChar w:fldCharType="begin"/>
      </w:r>
      <w:r>
        <w:rPr>
          <w:sz w:val="20"/>
          <w:szCs w:val="19"/>
          <w:lang w:val="ru-RU"/>
        </w:rPr>
        <w:instrText xml:space="preserve"> DirectorName </w:instrText>
      </w:r>
      <w:r>
        <w:rPr>
          <w:sz w:val="20"/>
          <w:szCs w:val="19"/>
          <w:lang w:val="ru-RU"/>
        </w:rPr>
        <w:fldChar w:fldCharType="end"/>
      </w:r>
      <w:r/>
    </w:p>
    <w:p>
      <w:pPr>
        <w:ind w:left="-284"/>
        <w:jc w:val="center"/>
        <w:rPr>
          <w:sz w:val="18"/>
          <w:szCs w:val="18"/>
          <w:lang w:val="ru-RU"/>
        </w:rPr>
      </w:pPr>
      <w:r>
        <w:rPr>
          <w:sz w:val="16"/>
          <w:szCs w:val="18"/>
          <w:lang w:val="ru-RU"/>
        </w:rPr>
        <w:t xml:space="preserve">(</w:t>
      </w:r>
      <w:r>
        <w:rPr>
          <w:bCs/>
          <w:sz w:val="16"/>
          <w:szCs w:val="18"/>
          <w:lang w:val="ru-RU"/>
        </w:rPr>
        <w:t xml:space="preserve">Ф.И.О. руководителя юридического лица или уполномоченного лица</w:t>
      </w:r>
      <w:r>
        <w:rPr>
          <w:sz w:val="16"/>
          <w:szCs w:val="18"/>
          <w:lang w:val="ru-RU"/>
        </w:rPr>
        <w:t xml:space="preserve">)</w:t>
      </w:r>
      <w:r/>
    </w:p>
    <w:p>
      <w:pPr>
        <w:ind w:left="-284"/>
        <w:jc w:val="both"/>
        <w:rPr>
          <w:b/>
          <w:bCs/>
          <w:sz w:val="20"/>
          <w:szCs w:val="19"/>
          <w:lang w:val="ru-RU"/>
        </w:rPr>
        <w:pBdr>
          <w:bottom w:val="single" w:color="auto" w:sz="4" w:space="1"/>
        </w:pBdr>
      </w:pPr>
      <w:r>
        <w:rPr>
          <w:b/>
          <w:bCs/>
          <w:sz w:val="20"/>
          <w:szCs w:val="19"/>
          <w:lang w:val="ru-RU"/>
        </w:rPr>
        <w:t xml:space="preserve">действующего на основании</w:t>
      </w:r>
      <w:r>
        <w:rPr>
          <w:sz w:val="20"/>
          <w:szCs w:val="19"/>
          <w:vertAlign w:val="superscript"/>
        </w:rPr>
        <w:footnoteReference w:id="2"/>
      </w:r>
      <w:r>
        <w:rPr>
          <w:sz w:val="20"/>
          <w:szCs w:val="19"/>
          <w:lang w:val="ru-RU"/>
        </w:rPr>
        <w:t xml:space="preserve">    </w:t>
      </w:r>
      <w:r>
        <w:rPr>
          <w:sz w:val="20"/>
          <w:szCs w:val="19"/>
          <w:lang w:val="ru-RU"/>
        </w:rPr>
        <w:fldChar w:fldCharType="begin"/>
      </w:r>
      <w:r>
        <w:rPr>
          <w:sz w:val="20"/>
          <w:szCs w:val="19"/>
          <w:lang w:val="ru-RU"/>
        </w:rPr>
        <w:instrText xml:space="preserve"> ActingBasis </w:instrText>
      </w:r>
      <w:r>
        <w:rPr>
          <w:sz w:val="20"/>
          <w:szCs w:val="19"/>
          <w:lang w:val="ru-RU"/>
        </w:rPr>
        <w:fldChar w:fldCharType="end"/>
      </w:r>
      <w:r/>
    </w:p>
    <w:p>
      <w:pPr>
        <w:ind w:left="-284"/>
        <w:jc w:val="center"/>
        <w:rPr>
          <w:sz w:val="18"/>
          <w:lang w:val="ru-RU"/>
        </w:rPr>
      </w:pPr>
      <w:r>
        <w:rPr>
          <w:sz w:val="18"/>
          <w:lang w:val="ru-RU"/>
        </w:rPr>
        <w:t xml:space="preserve">(</w:t>
      </w:r>
      <w:r>
        <w:rPr>
          <w:sz w:val="16"/>
          <w:szCs w:val="18"/>
          <w:lang w:val="ru-RU"/>
        </w:rPr>
        <w:t xml:space="preserve">Устав, Положение, Соглашение и т.д</w:t>
      </w:r>
      <w:r>
        <w:rPr>
          <w:sz w:val="18"/>
          <w:lang w:val="ru-RU"/>
        </w:rPr>
        <w:t xml:space="preserve">.)</w:t>
      </w:r>
      <w:r/>
    </w:p>
    <w:tbl>
      <w:tblPr>
        <w:tblW w:w="10773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0773"/>
      </w:tblGrid>
      <w:tr>
        <w:trPr>
          <w:trHeight w:val="1124"/>
        </w:trPr>
        <w:tc>
          <w:tcPr>
            <w:shd w:val="clear" w:color="auto" w:fill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773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(заполняется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 xml:space="preserve">физическим лицом, индивидуальным предпринимателем)</w:t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данные: серия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PassportSeries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дата выдачи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PassportIssueDate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кем выдан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PassportIssuer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Адрес места жительства (по паспорту)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Address1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Почтовый адрес (для корреспонденции)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Address2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Контактный телефон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PhoneNumber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№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OGRNIP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6"/>
                <w:szCs w:val="6"/>
                <w:lang w:val="ru-RU"/>
              </w:rPr>
            </w:pPr>
            <w:r>
              <w:rPr>
                <w:sz w:val="6"/>
                <w:szCs w:val="6"/>
                <w:lang w:val="ru-RU"/>
              </w:rPr>
            </w:r>
            <w:r/>
          </w:p>
        </w:tc>
      </w:tr>
      <w:tr>
        <w:trPr>
          <w:trHeight w:val="1024"/>
        </w:trPr>
        <w:tc>
          <w:tcPr>
            <w:shd w:val="clear" w:color="auto" w:fill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773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(заполняется юридическим лицом)</w:t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Адрес местонахождения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>
              <w:rPr>
                <w:sz w:val="18"/>
                <w:szCs w:val="18"/>
                <w:u w:val="single"/>
              </w:rPr>
              <w:instrText xml:space="preserve">UL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1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Почтовый адрес (для корреспонденции)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>
              <w:rPr>
                <w:sz w:val="18"/>
                <w:szCs w:val="18"/>
                <w:u w:val="single"/>
              </w:rPr>
              <w:instrText xml:space="preserve">UL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Контактный телефон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PhoneNumber</w:instrText>
            </w:r>
            <w:r>
              <w:rPr>
                <w:sz w:val="18"/>
                <w:szCs w:val="18"/>
                <w:u w:val="single"/>
              </w:rPr>
              <w:instrText xml:space="preserve">UL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ИНН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INN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КПП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KPP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ОГРН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OGRN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b/>
                <w:sz w:val="6"/>
                <w:szCs w:val="6"/>
                <w:lang w:val="ru-RU"/>
              </w:rPr>
            </w:pPr>
            <w:r>
              <w:rPr>
                <w:b/>
                <w:sz w:val="6"/>
                <w:szCs w:val="6"/>
                <w:lang w:val="ru-RU"/>
              </w:rPr>
            </w:r>
            <w:r/>
          </w:p>
        </w:tc>
      </w:tr>
      <w:tr>
        <w:trPr>
          <w:trHeight w:val="1179"/>
        </w:trPr>
        <w:tc>
          <w:tcPr>
            <w:shd w:val="clear" w:color="auto" w:fill="auto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W w:w="1077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sz w:val="18"/>
                <w:szCs w:val="18"/>
                <w:lang w:val="ru-RU"/>
              </w:rPr>
              <w:pBdr>
                <w:bottom w:val="single" w:color="auto" w:sz="4" w:space="1"/>
              </w:pBdr>
            </w:pPr>
            <w:r>
              <w:rPr>
                <w:b/>
                <w:sz w:val="18"/>
                <w:szCs w:val="18"/>
                <w:lang w:val="ru-RU"/>
              </w:rPr>
              <w:t xml:space="preserve">Представитель Заявителя</w:t>
            </w:r>
            <w:r>
              <w:rPr>
                <w:sz w:val="18"/>
                <w:szCs w:val="18"/>
                <w:vertAlign w:val="superscript"/>
              </w:rPr>
              <w:footnoteReference w:id="3"/>
            </w:r>
            <w:r>
              <w:rPr>
                <w:b/>
                <w:sz w:val="18"/>
                <w:szCs w:val="18"/>
                <w:lang w:val="ru-RU"/>
              </w:rPr>
              <w:t xml:space="preserve">     </w:t>
            </w:r>
            <w:r>
              <w:rPr>
                <w:sz w:val="18"/>
                <w:szCs w:val="18"/>
                <w:lang w:val="ru-RU"/>
              </w:rPr>
              <w:fldChar w:fldCharType="begin"/>
            </w:r>
            <w:r>
              <w:rPr>
                <w:sz w:val="18"/>
                <w:szCs w:val="18"/>
                <w:lang w:val="ru-RU"/>
              </w:rPr>
              <w:instrText xml:space="preserve"> RepresentativeName </w:instrText>
            </w:r>
            <w:r>
              <w:rPr>
                <w:sz w:val="18"/>
                <w:szCs w:val="18"/>
                <w:lang w:val="ru-RU"/>
              </w:rPr>
              <w:fldChar w:fldCharType="end"/>
            </w:r>
            <w:r/>
          </w:p>
          <w:p>
            <w:pPr>
              <w:jc w:val="center"/>
              <w:spacing w:line="276" w:lineRule="auto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(Ф.И.О.)</w:t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от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PowerOfAttorneyDate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PowerOfAttorneyNumber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RepresentativePassportSeries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дата выдачи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RepresentativePassportIssueDate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кем выдан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RepresentativePassportIssuer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Адрес места жительства (по паспорту)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RepresentativeAddress1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Почтовый адрес (для корреспонденции)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RepresentativeAddress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Контактный телефон</w:t>
            </w:r>
            <w:r>
              <w:rPr>
                <w:sz w:val="18"/>
                <w:szCs w:val="18"/>
                <w:u w:val="single"/>
                <w:lang w:val="ru-RU"/>
              </w:rPr>
              <w:t xml:space="preserve">: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 xml:space="preserve">RepresentativePhoneNumber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/>
          </w:p>
          <w:p>
            <w:pPr>
              <w:jc w:val="both"/>
              <w:spacing w:line="276" w:lineRule="auto"/>
              <w:rPr>
                <w:sz w:val="6"/>
                <w:szCs w:val="6"/>
                <w:lang w:val="ru-RU"/>
              </w:rPr>
            </w:pPr>
            <w:r>
              <w:rPr>
                <w:sz w:val="6"/>
                <w:szCs w:val="6"/>
                <w:lang w:val="ru-RU"/>
              </w:rPr>
            </w:r>
            <w:r/>
          </w:p>
        </w:tc>
      </w:tr>
    </w:tbl>
    <w:p>
      <w:pPr>
        <w:ind w:left="-426"/>
        <w:jc w:val="both"/>
        <w:spacing w:before="1" w:after="1" w:line="192" w:lineRule="auto"/>
        <w:widowControl w:val="off"/>
        <w:rPr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</w:r>
      <w:r/>
    </w:p>
    <w:p>
      <w:pPr>
        <w:ind w:left="-426"/>
        <w:jc w:val="both"/>
        <w:spacing w:before="1" w:after="1" w:line="192" w:lineRule="auto"/>
        <w:widowControl w:val="off"/>
        <w:rPr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по продаже </w:t>
      </w:r>
      <w:r>
        <w:rPr>
          <w:b/>
          <w:bCs/>
          <w:sz w:val="19"/>
          <w:szCs w:val="19"/>
          <w:lang w:val="ru-RU"/>
        </w:rPr>
        <w:t xml:space="preserve">имущества </w:t>
      </w:r>
      <w:r>
        <w:rPr>
          <w:b/>
          <w:bCs/>
          <w:sz w:val="19"/>
          <w:szCs w:val="19"/>
          <w:lang w:val="ru-RU"/>
        </w:rPr>
        <w:t xml:space="preserve">и обязуется обеспечить поступление задатка в размере</w:t>
      </w:r>
      <w:r>
        <w:rPr>
          <w:b/>
          <w:bCs/>
          <w:sz w:val="19"/>
          <w:szCs w:val="19"/>
          <w:u w:val="single"/>
          <w:lang w:val="ru-RU"/>
        </w:rPr>
        <w:t xml:space="preserve"> </w:t>
      </w:r>
      <w:r>
        <w:rPr>
          <w:bCs/>
          <w:sz w:val="19"/>
          <w:szCs w:val="19"/>
          <w:u w:val="single"/>
          <w:lang w:val="ru-RU"/>
        </w:rPr>
        <w:fldChar w:fldCharType="begin"/>
      </w:r>
      <w:r>
        <w:rPr>
          <w:bCs/>
          <w:sz w:val="19"/>
          <w:szCs w:val="19"/>
          <w:u w:val="single"/>
          <w:lang w:val="ru-RU"/>
        </w:rPr>
        <w:instrText xml:space="preserve"> ApplicationGuarantee </w:instrText>
      </w:r>
      <w:r>
        <w:rPr>
          <w:bCs/>
          <w:sz w:val="19"/>
          <w:szCs w:val="19"/>
          <w:u w:val="single"/>
          <w:lang w:val="ru-RU"/>
        </w:rPr>
        <w:fldChar w:fldCharType="end"/>
      </w:r>
      <w:r>
        <w:rPr>
          <w:b/>
          <w:bCs/>
          <w:sz w:val="19"/>
          <w:szCs w:val="19"/>
          <w:u w:val="single"/>
          <w:lang w:val="ru-RU"/>
        </w:rPr>
        <w:t xml:space="preserve">  </w:t>
      </w:r>
      <w:r>
        <w:rPr>
          <w:b/>
          <w:bCs/>
          <w:sz w:val="19"/>
          <w:szCs w:val="19"/>
          <w:u w:val="single"/>
          <w:lang w:val="ru-RU"/>
        </w:rPr>
        <w:t xml:space="preserve"> </w:t>
      </w:r>
      <w:r>
        <w:rPr>
          <w:b/>
          <w:bCs/>
          <w:sz w:val="19"/>
          <w:szCs w:val="19"/>
          <w:u w:val="single"/>
          <w:lang w:val="ru-RU"/>
        </w:rPr>
        <w:t xml:space="preserve"> </w:t>
      </w:r>
      <w:r>
        <w:rPr>
          <w:bCs/>
          <w:sz w:val="19"/>
          <w:szCs w:val="19"/>
          <w:u w:val="single"/>
          <w:lang w:val="ru-RU"/>
        </w:rPr>
        <w:t xml:space="preserve"> </w:t>
      </w:r>
      <w:r>
        <w:rPr>
          <w:bCs/>
          <w:sz w:val="19"/>
          <w:szCs w:val="19"/>
          <w:u w:val="single"/>
          <w:lang w:val="ru-RU"/>
        </w:rPr>
        <w:fldChar w:fldCharType="begin"/>
      </w:r>
      <w:r>
        <w:rPr>
          <w:bCs/>
          <w:sz w:val="19"/>
          <w:szCs w:val="19"/>
          <w:u w:val="single"/>
          <w:lang w:val="ru-RU"/>
        </w:rPr>
        <w:instrText xml:space="preserve"> ApplicationGuaranteeInWords </w:instrText>
      </w:r>
      <w:r>
        <w:rPr>
          <w:bCs/>
          <w:sz w:val="19"/>
          <w:szCs w:val="19"/>
          <w:u w:val="single"/>
          <w:lang w:val="ru-RU"/>
        </w:rPr>
        <w:fldChar w:fldCharType="end"/>
      </w:r>
      <w:r>
        <w:rPr>
          <w:bCs/>
          <w:sz w:val="19"/>
          <w:szCs w:val="19"/>
          <w:u w:val="single"/>
          <w:lang w:val="ru-RU"/>
        </w:rPr>
        <w:t xml:space="preserve"> </w:t>
      </w:r>
      <w:r>
        <w:rPr>
          <w:bCs/>
          <w:sz w:val="19"/>
          <w:szCs w:val="19"/>
          <w:lang w:val="ru-RU"/>
        </w:rPr>
        <w:t xml:space="preserve"> </w:t>
      </w:r>
      <w:r>
        <w:rPr>
          <w:b/>
          <w:bCs/>
          <w:sz w:val="19"/>
          <w:szCs w:val="19"/>
          <w:lang w:val="ru-RU"/>
        </w:rPr>
        <w:t xml:space="preserve">(сумма прописью), в сроки и в порядке, установленные в Информ</w:t>
      </w:r>
      <w:r>
        <w:rPr>
          <w:b/>
          <w:bCs/>
          <w:sz w:val="19"/>
          <w:szCs w:val="19"/>
          <w:lang w:val="ru-RU"/>
        </w:rPr>
        <w:t xml:space="preserve">ационном сообщении на указанное имущество </w:t>
      </w:r>
      <w:r>
        <w:rPr>
          <w:b/>
          <w:bCs/>
          <w:sz w:val="19"/>
          <w:szCs w:val="19"/>
          <w:lang w:val="ru-RU"/>
        </w:rPr>
        <w:t xml:space="preserve">и в соответствии </w:t>
      </w:r>
      <w:r>
        <w:rPr>
          <w:b/>
          <w:bCs/>
          <w:sz w:val="19"/>
          <w:szCs w:val="19"/>
          <w:lang w:val="ru-RU"/>
        </w:rPr>
        <w:t xml:space="preserve">с Регламентом Оператора электронной площадки.</w:t>
      </w:r>
      <w:r/>
    </w:p>
    <w:p>
      <w:pPr>
        <w:ind w:left="-426"/>
        <w:jc w:val="both"/>
        <w:spacing w:before="1" w:after="1" w:line="192" w:lineRule="auto"/>
        <w:widowControl w:val="off"/>
        <w:rPr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</w:r>
      <w:r/>
    </w:p>
    <w:p>
      <w:pPr>
        <w:numPr>
          <w:ilvl w:val="0"/>
          <w:numId w:val="1"/>
        </w:numPr>
        <w:ind w:left="-567" w:hanging="284"/>
        <w:jc w:val="both"/>
        <w:tabs>
          <w:tab w:val="clear" w:pos="360" w:leader="none"/>
        </w:tabs>
        <w:rPr>
          <w:sz w:val="18"/>
          <w:szCs w:val="17"/>
        </w:rPr>
      </w:pPr>
      <w:r>
        <w:rPr>
          <w:sz w:val="18"/>
          <w:szCs w:val="17"/>
        </w:rPr>
        <w:t xml:space="preserve">Претендент обязуется:</w:t>
      </w:r>
      <w:r/>
    </w:p>
    <w:p>
      <w:pPr>
        <w:numPr>
          <w:ilvl w:val="1"/>
          <w:numId w:val="1"/>
        </w:numPr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>
        <w:rPr>
          <w:sz w:val="18"/>
          <w:szCs w:val="17"/>
          <w:vertAlign w:val="superscript"/>
        </w:rPr>
        <w:footnoteReference w:id="4"/>
      </w:r>
      <w:r/>
    </w:p>
    <w:p>
      <w:pPr>
        <w:numPr>
          <w:ilvl w:val="1"/>
          <w:numId w:val="1"/>
        </w:numPr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</w:t>
      </w:r>
      <w:r>
        <w:rPr>
          <w:sz w:val="18"/>
          <w:szCs w:val="17"/>
          <w:lang w:val="ru-RU"/>
        </w:rPr>
        <w:br/>
        <w:t xml:space="preserve">в соответствии с порядком, сроками и требованиями, установленными Информационным сообщением и договором купли-продажи. </w:t>
      </w:r>
      <w:r/>
    </w:p>
    <w:p>
      <w:pPr>
        <w:numPr>
          <w:ilvl w:val="0"/>
          <w:numId w:val="1"/>
        </w:numPr>
        <w:ind w:left="-567" w:hanging="284"/>
        <w:jc w:val="both"/>
        <w:tabs>
          <w:tab w:val="clear" w:pos="360" w:leader="none"/>
        </w:tabs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Задаток Победителя аукциона засчитывается в счет оплаты приобретаемого имущества.</w:t>
      </w:r>
      <w:r/>
    </w:p>
    <w:p>
      <w:pPr>
        <w:numPr>
          <w:ilvl w:val="0"/>
          <w:numId w:val="1"/>
        </w:numPr>
        <w:ind w:left="-567" w:hanging="284"/>
        <w:jc w:val="both"/>
        <w:tabs>
          <w:tab w:val="clear" w:pos="360" w:leader="none"/>
        </w:tabs>
        <w:rPr>
          <w:sz w:val="20"/>
          <w:szCs w:val="18"/>
          <w:lang w:val="ru-RU"/>
        </w:rPr>
      </w:pPr>
      <w:r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>
        <w:rPr>
          <w:sz w:val="18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>
        <w:rPr>
          <w:b/>
          <w:sz w:val="18"/>
          <w:szCs w:val="17"/>
          <w:lang w:val="ru-RU"/>
        </w:rPr>
        <w:t xml:space="preserve">и он не имеет претензий к ним</w:t>
      </w:r>
      <w:r>
        <w:rPr>
          <w:sz w:val="18"/>
          <w:szCs w:val="17"/>
          <w:lang w:val="ru-RU"/>
        </w:rPr>
        <w:t xml:space="preserve">.</w:t>
      </w:r>
      <w:r/>
    </w:p>
    <w:p>
      <w:pPr>
        <w:numPr>
          <w:ilvl w:val="0"/>
          <w:numId w:val="1"/>
        </w:numPr>
        <w:ind w:left="-567" w:hanging="284"/>
        <w:jc w:val="both"/>
        <w:tabs>
          <w:tab w:val="num" w:pos="0" w:leader="none"/>
          <w:tab w:val="clear" w:pos="360" w:leader="none"/>
        </w:tabs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времени окончания приема/подачи заявок </w:t>
      </w:r>
      <w:r>
        <w:rPr>
          <w:sz w:val="18"/>
          <w:szCs w:val="17"/>
          <w:lang w:val="ru-RU"/>
        </w:rPr>
        <w:br/>
        <w:t xml:space="preserve">на участие в аукционе в электронной форме, в порядке, установленном в Информационном сообщении.</w:t>
      </w:r>
      <w:r/>
    </w:p>
    <w:p>
      <w:pPr>
        <w:numPr>
          <w:ilvl w:val="0"/>
          <w:numId w:val="1"/>
        </w:numPr>
        <w:ind w:left="-567" w:hanging="284"/>
        <w:jc w:val="both"/>
        <w:tabs>
          <w:tab w:val="clear" w:pos="360" w:leader="none"/>
        </w:tabs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  <w:r/>
    </w:p>
    <w:p>
      <w:pPr>
        <w:numPr>
          <w:ilvl w:val="0"/>
          <w:numId w:val="1"/>
        </w:numPr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Информационным сообщением </w:t>
      </w:r>
      <w:r>
        <w:rPr>
          <w:sz w:val="18"/>
          <w:szCs w:val="17"/>
          <w:lang w:val="ru-RU"/>
        </w:rPr>
        <w:br/>
        <w:t xml:space="preserve">и проектом</w:t>
      </w:r>
      <w:r>
        <w:rPr>
          <w:color w:val="FF0000"/>
          <w:sz w:val="18"/>
          <w:szCs w:val="17"/>
          <w:lang w:val="ru-RU"/>
        </w:rPr>
        <w:t xml:space="preserve"> </w:t>
      </w:r>
      <w:r>
        <w:rPr>
          <w:sz w:val="18"/>
          <w:szCs w:val="17"/>
          <w:lang w:val="ru-RU"/>
        </w:rPr>
        <w:t xml:space="preserve">до</w:t>
      </w:r>
      <w:r>
        <w:rPr>
          <w:sz w:val="18"/>
          <w:szCs w:val="17"/>
          <w:lang w:val="ru-RU"/>
        </w:rPr>
        <w:t xml:space="preserve">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  <w:r/>
    </w:p>
    <w:p>
      <w:pPr>
        <w:numPr>
          <w:ilvl w:val="0"/>
          <w:numId w:val="1"/>
        </w:numPr>
        <w:ind w:left="-567" w:hanging="284"/>
        <w:jc w:val="both"/>
        <w:tabs>
          <w:tab w:val="clear" w:pos="360" w:leader="none"/>
        </w:tabs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Претендент о</w:t>
      </w:r>
      <w:r>
        <w:rPr>
          <w:sz w:val="18"/>
          <w:szCs w:val="17"/>
          <w:lang w:val="ru-RU"/>
        </w:rPr>
        <w:t xml:space="preserve">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</w:t>
      </w:r>
      <w:r>
        <w:rPr>
          <w:sz w:val="18"/>
          <w:szCs w:val="17"/>
          <w:lang w:val="ru-RU"/>
        </w:rPr>
        <w:br/>
        <w:t xml:space="preserve">а также приостановлением процедуры проведения аукциона в электронной форме. 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</w:t>
      </w:r>
      <w:r>
        <w:rPr>
          <w:sz w:val="18"/>
          <w:szCs w:val="17"/>
          <w:lang w:val="ru-RU"/>
        </w:rPr>
        <w:br/>
        <w:t xml:space="preserve">в электронной форме, внесении изменений в Информационное сообщение на официальном сайте торгов Российской Федерации </w:t>
      </w:r>
      <w:r>
        <w:rPr>
          <w:sz w:val="18"/>
          <w:szCs w:val="17"/>
          <w:lang w:val="ru-RU"/>
        </w:rPr>
        <w:br/>
        <w:t xml:space="preserve">в информационно-телекоммуникационной сети «Интернет» для размещения информации о проведении торгов </w:t>
      </w:r>
      <w:hyperlink r:id="rId9" w:tooltip="http://www.torgi.gov.ru" w:history="1">
        <w:r>
          <w:rPr>
            <w:sz w:val="18"/>
            <w:szCs w:val="17"/>
            <w:u w:val="single"/>
          </w:rPr>
          <w:t xml:space="preserve">www</w:t>
        </w:r>
        <w:r>
          <w:rPr>
            <w:sz w:val="18"/>
            <w:szCs w:val="17"/>
            <w:u w:val="single"/>
            <w:lang w:val="ru-RU"/>
          </w:rPr>
          <w:t xml:space="preserve">.</w:t>
        </w:r>
        <w:r>
          <w:rPr>
            <w:sz w:val="18"/>
            <w:szCs w:val="17"/>
            <w:u w:val="single"/>
          </w:rPr>
          <w:t xml:space="preserve">torgi</w:t>
        </w:r>
        <w:r>
          <w:rPr>
            <w:sz w:val="18"/>
            <w:szCs w:val="17"/>
            <w:u w:val="single"/>
            <w:lang w:val="ru-RU"/>
          </w:rPr>
          <w:t xml:space="preserve">.</w:t>
        </w:r>
        <w:r>
          <w:rPr>
            <w:sz w:val="18"/>
            <w:szCs w:val="17"/>
            <w:u w:val="single"/>
          </w:rPr>
          <w:t xml:space="preserve">gov</w:t>
        </w:r>
        <w:r>
          <w:rPr>
            <w:sz w:val="18"/>
            <w:szCs w:val="17"/>
            <w:u w:val="single"/>
            <w:lang w:val="ru-RU"/>
          </w:rPr>
          <w:t xml:space="preserve">.</w:t>
        </w:r>
        <w:r>
          <w:rPr>
            <w:sz w:val="18"/>
            <w:szCs w:val="17"/>
            <w:u w:val="single"/>
          </w:rPr>
          <w:t xml:space="preserve">ru</w:t>
        </w:r>
      </w:hyperlink>
      <w:r>
        <w:rPr>
          <w:sz w:val="18"/>
          <w:szCs w:val="17"/>
          <w:lang w:val="ru-RU"/>
        </w:rPr>
        <w:t xml:space="preserve"> и сайте </w:t>
      </w:r>
      <w:r>
        <w:rPr>
          <w:sz w:val="18"/>
          <w:szCs w:val="17"/>
          <w:u w:val="single"/>
          <w:lang w:val="ru-RU"/>
        </w:rPr>
        <w:t xml:space="preserve">Оператора электронной площадки.</w:t>
      </w:r>
      <w:r/>
    </w:p>
    <w:p>
      <w:pPr>
        <w:numPr>
          <w:ilvl w:val="0"/>
          <w:numId w:val="1"/>
        </w:numPr>
        <w:ind w:left="-567" w:hanging="284"/>
        <w:jc w:val="both"/>
        <w:tabs>
          <w:tab w:val="clear" w:pos="360" w:leader="none"/>
        </w:tabs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Условия аукциона в электронной форме по данному имуществу с Участником аукциона являются условиями публичной оферты, </w:t>
      </w:r>
      <w:r>
        <w:rPr>
          <w:sz w:val="18"/>
          <w:szCs w:val="17"/>
          <w:lang w:val="ru-RU"/>
        </w:rPr>
        <w:br/>
        <w:t xml:space="preserve">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r/>
    </w:p>
    <w:p>
      <w:pPr>
        <w:ind w:left="-567"/>
        <w:jc w:val="both"/>
        <w:rPr>
          <w:sz w:val="28"/>
          <w:lang w:val="ru-RU"/>
        </w:rPr>
      </w:pPr>
      <w:r>
        <w:rPr>
          <w:sz w:val="18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>
        <w:rPr>
          <w:sz w:val="18"/>
          <w:szCs w:val="17"/>
          <w:lang w:val="ru-RU"/>
        </w:rPr>
        <w:br/>
        <w:t xml:space="preserve">на обработку персональных данных, указанных выше и содержащихся в представленных документах, в целях участия в аукционе в электронной форме. (Под обработкой персональных данных понимается совершение, в том числе, следующих действий: сбор, системати</w:t>
      </w:r>
      <w:r>
        <w:rPr>
          <w:sz w:val="18"/>
          <w:szCs w:val="17"/>
          <w:lang w:val="ru-RU"/>
        </w:rPr>
        <w:t xml:space="preserve">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Федеральном законе от 27.07.2006 № 152</w:t>
      </w:r>
      <w:r>
        <w:rPr>
          <w:sz w:val="18"/>
          <w:szCs w:val="17"/>
          <w:lang w:val="ru-RU"/>
        </w:rPr>
        <w:t xml:space="preserve">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</w:t>
      </w:r>
      <w:r>
        <w:rPr>
          <w:sz w:val="18"/>
          <w:szCs w:val="17"/>
          <w:lang w:val="ru-RU"/>
        </w:rPr>
        <w:t xml:space="preserve">т подтверждает, что ознакомлен </w:t>
      </w:r>
      <w:bookmarkStart w:id="2" w:name="_GoBack"/>
      <w:r/>
      <w:bookmarkEnd w:id="2"/>
      <w:r>
        <w:rPr>
          <w:sz w:val="18"/>
          <w:szCs w:val="17"/>
          <w:lang w:val="ru-RU"/>
        </w:rPr>
        <w:t xml:space="preserve">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  <w:r/>
    </w:p>
    <w:sectPr>
      <w:footnotePr/>
      <w:endnotePr/>
      <w:type w:val="nextPage"/>
      <w:pgSz w:w="11906" w:h="16838" w:orient="portrait"/>
      <w:pgMar w:top="720" w:right="424" w:bottom="720" w:left="127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671"/>
        <w:ind w:left="-426"/>
        <w:rPr>
          <w:sz w:val="16"/>
          <w:szCs w:val="16"/>
        </w:rPr>
      </w:pPr>
      <w:r>
        <w:rPr>
          <w:rStyle w:val="673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при подаче Заявки юридическим лицом.</w:t>
      </w:r>
      <w:r/>
    </w:p>
  </w:footnote>
  <w:footnote w:id="3">
    <w:p>
      <w:pPr>
        <w:ind w:left="-426"/>
        <w:jc w:val="both"/>
        <w:rPr>
          <w:sz w:val="16"/>
          <w:szCs w:val="16"/>
          <w:lang w:val="ru-RU"/>
        </w:rPr>
      </w:pPr>
      <w:r>
        <w:rPr>
          <w:rStyle w:val="673"/>
          <w:sz w:val="16"/>
          <w:szCs w:val="16"/>
        </w:rPr>
        <w:footnoteRef/>
      </w:r>
      <w:r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 xml:space="preserve">ом, действующим по доверенности (для юридических лиц)</w:t>
      </w:r>
      <w:r/>
    </w:p>
  </w:footnote>
  <w:footnote w:id="4">
    <w:p>
      <w:pPr>
        <w:pStyle w:val="671"/>
        <w:ind w:left="-426"/>
        <w:rPr>
          <w:sz w:val="18"/>
          <w:szCs w:val="18"/>
        </w:rPr>
      </w:pPr>
      <w:r>
        <w:rPr>
          <w:rStyle w:val="673"/>
          <w:sz w:val="16"/>
          <w:szCs w:val="16"/>
        </w:rPr>
        <w:footnoteRef/>
      </w:r>
      <w:r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7"/>
    <w:next w:val="667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668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7"/>
    <w:next w:val="667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668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7"/>
    <w:next w:val="667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668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7"/>
    <w:next w:val="667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668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7"/>
    <w:next w:val="667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68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7"/>
    <w:next w:val="667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68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7"/>
    <w:next w:val="667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68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7"/>
    <w:next w:val="667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68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7"/>
    <w:next w:val="667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68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67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67"/>
    <w:next w:val="667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68"/>
    <w:link w:val="32"/>
    <w:uiPriority w:val="10"/>
    <w:rPr>
      <w:sz w:val="48"/>
      <w:szCs w:val="48"/>
    </w:rPr>
  </w:style>
  <w:style w:type="paragraph" w:styleId="34">
    <w:name w:val="Subtitle"/>
    <w:basedOn w:val="667"/>
    <w:next w:val="667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68"/>
    <w:link w:val="34"/>
    <w:uiPriority w:val="11"/>
    <w:rPr>
      <w:sz w:val="24"/>
      <w:szCs w:val="24"/>
    </w:rPr>
  </w:style>
  <w:style w:type="paragraph" w:styleId="36">
    <w:name w:val="Quote"/>
    <w:basedOn w:val="667"/>
    <w:next w:val="667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7"/>
    <w:next w:val="667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67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68"/>
    <w:link w:val="40"/>
    <w:uiPriority w:val="99"/>
  </w:style>
  <w:style w:type="paragraph" w:styleId="42">
    <w:name w:val="Footer"/>
    <w:basedOn w:val="66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68"/>
    <w:link w:val="42"/>
    <w:uiPriority w:val="99"/>
  </w:style>
  <w:style w:type="paragraph" w:styleId="44">
    <w:name w:val="Caption"/>
    <w:basedOn w:val="667"/>
    <w:next w:val="66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6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character" w:styleId="174">
    <w:name w:val="Footnote Text Char"/>
    <w:link w:val="671"/>
    <w:uiPriority w:val="99"/>
    <w:rPr>
      <w:sz w:val="18"/>
    </w:rPr>
  </w:style>
  <w:style w:type="paragraph" w:styleId="176">
    <w:name w:val="endnote text"/>
    <w:basedOn w:val="667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8"/>
    <w:uiPriority w:val="99"/>
    <w:semiHidden/>
    <w:unhideWhenUsed/>
    <w:rPr>
      <w:vertAlign w:val="superscript"/>
    </w:rPr>
  </w:style>
  <w:style w:type="paragraph" w:styleId="179">
    <w:name w:val="toc 1"/>
    <w:basedOn w:val="667"/>
    <w:next w:val="667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7"/>
    <w:next w:val="667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7"/>
    <w:next w:val="667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7"/>
    <w:next w:val="667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7"/>
    <w:next w:val="667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7"/>
    <w:next w:val="667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7"/>
    <w:next w:val="667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7"/>
    <w:next w:val="667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7"/>
    <w:next w:val="667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7"/>
    <w:next w:val="667"/>
    <w:uiPriority w:val="99"/>
    <w:unhideWhenUsed/>
    <w:pPr>
      <w:spacing w:after="0" w:afterAutospacing="0"/>
    </w:pPr>
  </w:style>
  <w:style w:type="paragraph" w:styleId="667" w:default="1">
    <w:name w:val="Normal"/>
    <w:qFormat/>
    <w:pPr>
      <w:spacing w:after="0" w:line="240" w:lineRule="auto"/>
    </w:pPr>
    <w:rPr>
      <w:rFonts w:ascii="Times New Roman" w:hAnsi="Times New Roman" w:cs="Times New Roman" w:eastAsia="Times New Roman"/>
      <w:sz w:val="24"/>
      <w:szCs w:val="20"/>
      <w:lang w:val="en-US"/>
    </w:rPr>
  </w:style>
  <w:style w:type="character" w:styleId="668" w:default="1">
    <w:name w:val="Default Paragraph Font"/>
    <w:uiPriority w:val="1"/>
    <w:semiHidden/>
    <w:unhideWhenUsed/>
  </w:style>
  <w:style w:type="table" w:styleId="6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0" w:default="1">
    <w:name w:val="No List"/>
    <w:uiPriority w:val="99"/>
    <w:semiHidden/>
    <w:unhideWhenUsed/>
  </w:style>
  <w:style w:type="paragraph" w:styleId="671">
    <w:name w:val="footnote text"/>
    <w:basedOn w:val="667"/>
    <w:link w:val="672"/>
    <w:rPr>
      <w:sz w:val="20"/>
      <w:lang w:val="ru-RU" w:eastAsia="ru-RU"/>
    </w:rPr>
  </w:style>
  <w:style w:type="character" w:styleId="672" w:customStyle="1">
    <w:name w:val="Текст сноски Знак"/>
    <w:basedOn w:val="668"/>
    <w:link w:val="671"/>
    <w:rPr>
      <w:rFonts w:ascii="Times New Roman" w:hAnsi="Times New Roman" w:cs="Times New Roman" w:eastAsia="Times New Roman"/>
      <w:sz w:val="20"/>
      <w:szCs w:val="20"/>
      <w:lang w:eastAsia="ru-RU"/>
    </w:rPr>
  </w:style>
  <w:style w:type="character" w:styleId="673">
    <w:name w:val="footnote reference"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www.torg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revision>36</cp:revision>
  <dcterms:created xsi:type="dcterms:W3CDTF">2019-06-24T14:58:00Z</dcterms:created>
  <dcterms:modified xsi:type="dcterms:W3CDTF">2022-08-08T13:31:10Z</dcterms:modified>
</cp:coreProperties>
</file>